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151 vom 11. Juli 1977</w:t>
      </w:r>
    </w:p>
    <w:p>
      <w:r>
        <w:t>Bundesgericht (BGE), 1977-07-11, DE</w:t>
      </w:r>
    </w:p>
    <w:p>
      <w:r>
        <w:rPr>
          <w:b/>
        </w:rPr>
        <w:t xml:space="preserve">Quelle: </w:t>
      </w:r>
      <w:r>
        <w:t>https://mcp.opencaselaw.ch/entscheid/bge_106 IA 151</w:t>
      </w:r>
    </w:p>
    <w:p>
      <w:r>
        <w:t>FR: BGE 106 IA 151 du 11 juillet 1977</w:t>
      </w:r>
    </w:p>
    <w:p>
      <w:r>
        <w:t>IT: BGE 106 IA 151 del 11 luglio 1977</w:t>
      </w:r>
    </w:p>
    <w:p>
      <w:pPr>
        <w:pStyle w:val="Heading2"/>
      </w:pPr>
      <w:r>
        <w:t>Regeste</w:t>
      </w:r>
    </w:p>
    <w:p>
      <w:r>
        <w:t>Regeste Art. 88 OG; aktuelles Interesse. Wird der eingeforderte Steuerbetrag vorbehaltlos bezahlt und gegen einen Zahlungsbefehl kein Rechtsvorschlag erhoben, so entfällt grundsätzlich das aktuelle Interesse an der Beschwerdeführung. Dieses bleibt dann bestehen, wenn der zuviel bezahlte Betrag nach einer Abänderung der Einschätzung im Beschwerdeverfahren aufgrund des kantonalen Rechts von Amtes wegen zurückbezahlt werden muss.</w:t>
      </w:r>
    </w:p>
    <w:p>
      <w:pPr>
        <w:pStyle w:val="Heading2"/>
      </w:pPr>
      <w:r>
        <w:t>Erwägungen</w:t>
      </w:r>
    </w:p>
    <w:p>
      <w:r>
        <w:rPr>
          <w:b/>
        </w:rPr>
        <w:t>E. 1</w:t>
      </w:r>
    </w:p>
    <w:p>
      <w:r>
        <w:t>Das Bundesgericht prüft von Amtes wegen und mit freier Kognition, ob die staatsrechtliche Beschwerde zulässig sei. Dabei ist nicht von Bedeutung, ob die Beschwerdeführerin bereits im kantonalen Verfahren Parteistellung innehatte; einzig entscheidend ist, ob die im OG vorgesehenen Prozessvoraussetzungen gegeben sind ( BGE 104 Ia 159 E. 2b; BGE 102 Ia 94 E. 1; BGE 101 Ia 544 E. 2). a) Nach der Rechtsprechung setzt die staatsrechtliche Beschwerde ein aktuelles praktisches Interesse an der Aufhebung des angefochtenen Entscheids voraus ( BGE 104 Ia 488 E. 2; BGE 103 Ia 10 mit Hinweisen), weil das Bundesgericht andernfalls nicht mehr über konkrete, sondern bloss theoretische Fragen zu entscheiden hätte. Das erforderliche aktuelle Interesse fehlt BGE 106 Ia 151 S. 153 insbesondere, wenn der Hoheitsakt vollstreckt oder sonst gegenstandslos geworden ist (BIRCHMEIER, Bundesrechtspflege, S. 376, N. 4 lit. b zu Art. 88 OG ). In diesem Sinne hat das Bundesgericht entschieden, dass ein aktuelles praktisches Interesse an der Aufhebung einer Verfügung fehlt, mit welcher verfallene, aber im Laufe des Verfahrens vorbehaltlos entrichtete Beiträge eingefordert werden ( BGE 99 V 79 ). b) Im vorliegenden Fall wurde gegen den Zahlungsbefehl kein Rechtsvorschlag erhoben, sondern der geforderte Steuerbetrag vielmehr ohne Vorbehalt einbezahlt. Der Betrag wurde zwar nicht von der Beschwerdeführerin, sondern offenbar von ihrem Vater überwiesen. Das ändert indessen nichts daran, dass die Schuld ohne Vorbehalt getilgt wurde. Bei dieser Sachlage stellt sich die Frage, ob die Beschwerdeführerin im gegenwärtigen Zeitpunkt noch ein aktuelles praktisches Interesse an der Aufhebung des angefochtenen Entscheides hat. Das ist dann der Fall, wenn sie aufgrund des kantonalen Rechts nach einer allfälligen Gutheissung der Beschwerde den zuviel bezahlten Betrag trotz bedingungsloser Einzahlung noch zurückfordern könnte. Gemäss § 118 StG werden zuwenig bezahlte Beträge mit Zins nachgefordert, zuviel bezahlte Beträge mit Zins zurückerstattet, wenn die Einschätzung im Einsprache-, Rekurs- oder Beschwerdeverfahren geändert wird und die Einschätzung rechtskräftig ist. Daraus ist zu schliessen, dass die Einzahlung des Steuerbetrages und der Verzicht auf den Rechtsvorschlag nach kantonalem Recht nicht ohne weiteres als Anerkennung der Steuerschuld und des Betrages sowie als Verzicht auf die Ergreifung von Rechtsmitteln ausgelegt werden kann. Vielmehr zahlt die Steuerverwaltung zuviel bezahlte Beträge nach der rechtskräftigen Festsetzung der Steuer durch die Rechtsmittelbehörden ohne weiteren Antrag von Amtes wegen zurück (vgl. dazu auch REIMANN/ZUPPINGER/SCHÄRRER, Kommentar zum Zürcher Steuergesetz, Bd. III, S. 583 ff. zu Art. 118 StG ). Die Beschwerdeführerin hat demnach ein aktuelles Interesse an der Gutheissung der Beschwerde und an der Aufhebung des angefochtenen Entscheides; auf die Beschwerde kann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